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lang w:val="en-US" w:eastAsia="zh-CN"/>
        </w:rPr>
      </w:pPr>
      <w:bookmarkStart w:id="0" w:name="_GoBack"/>
      <w:bookmarkEnd w:id="0"/>
      <w:r>
        <w:rPr>
          <w:rFonts w:hint="eastAsia" w:ascii="仿宋" w:hAnsi="仿宋" w:eastAsia="仿宋" w:cs="仿宋"/>
          <w:lang w:eastAsia="zh-CN"/>
        </w:rPr>
        <w:t>附件</w:t>
      </w:r>
      <w:r>
        <w:rPr>
          <w:rFonts w:hint="eastAsia" w:ascii="仿宋" w:hAnsi="仿宋" w:eastAsia="仿宋" w:cs="仿宋"/>
          <w:lang w:val="en-US" w:eastAsia="zh-CN"/>
        </w:rPr>
        <w:t>1</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（一）产品清单要求</w:t>
      </w:r>
    </w:p>
    <w:tbl>
      <w:tblPr>
        <w:tblStyle w:val="12"/>
        <w:tblW w:w="47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400"/>
        <w:gridCol w:w="1824"/>
        <w:gridCol w:w="2890"/>
        <w:gridCol w:w="972"/>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700"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产品名称</w:t>
            </w:r>
          </w:p>
        </w:tc>
        <w:tc>
          <w:tcPr>
            <w:tcW w:w="2357" w:type="pct"/>
            <w:gridSpan w:val="2"/>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响应参数</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数量/单位</w:t>
            </w:r>
          </w:p>
        </w:tc>
        <w:tc>
          <w:tcPr>
            <w:tcW w:w="1134"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测量·评估套装</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包括握力计、捏力计、压痛计、关节量角器、指关节量角器、脊柱侧凸测量计、触觉测量卡尺、手指屈伸测量卡、圆周尺等产品。</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步态与平衡功能评估训练系统</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步态、平衡功能评定与训练。</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冲击波治疗仪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缓解作用部位的疼痛，用于肌腱末端病。</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磁振热治疗仪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采用磁场、振动、温热三种物理因子相结合进行同步治疗，适用于慢性软组织损伤、颈肩腰腿痛等。</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电脑恒温蜡疗仪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用于促进局部血液循环，软化松解瘢痕，消除肿胀，松解粘连，镇痛解痉的辅助治疗。</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经颅磁刺激仪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刺激人体中枢神经和外周神经，用于人体中枢神经和外周神经功能的检测、评定、改善治疗，对脑神经及神经损伤性疾病的辅助治疗。</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生物反馈治疗设备</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适用于神经肌肉功能障碍的辅助治疗。可用于盆底功能评估以及盆底功能训练。</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神经和肌肉刺激系统</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提供2-4通道电刺激，激光和LED疗法，表面肌电及表面肌电激发的电刺激，真空负压疗法和刺激。</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highlight w:val="none"/>
                <w:vertAlign w:val="baseline"/>
                <w:lang w:eastAsia="zh-CN"/>
              </w:rPr>
            </w:pPr>
            <w:r>
              <w:rPr>
                <w:rFonts w:hint="eastAsia" w:ascii="仿宋" w:hAnsi="仿宋" w:eastAsia="仿宋" w:cs="仿宋"/>
                <w:i w:val="0"/>
                <w:iCs w:val="0"/>
                <w:color w:val="000000"/>
                <w:kern w:val="0"/>
                <w:sz w:val="28"/>
                <w:szCs w:val="28"/>
                <w:highlight w:val="none"/>
                <w:u w:val="none"/>
                <w:lang w:val="en-US" w:eastAsia="zh-CN" w:bidi="ar"/>
              </w:rPr>
              <w:t>高频治疗仪(微波)</w:t>
            </w:r>
          </w:p>
        </w:tc>
        <w:tc>
          <w:tcPr>
            <w:tcW w:w="2357" w:type="pct"/>
            <w:gridSpan w:val="2"/>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highlight w:val="none"/>
                <w:vertAlign w:val="baseline"/>
              </w:rPr>
            </w:pPr>
            <w:r>
              <w:rPr>
                <w:rFonts w:hint="eastAsia" w:ascii="仿宋" w:hAnsi="仿宋" w:eastAsia="仿宋" w:cs="仿宋"/>
                <w:i w:val="0"/>
                <w:iCs w:val="0"/>
                <w:color w:val="000000"/>
                <w:kern w:val="0"/>
                <w:sz w:val="28"/>
                <w:szCs w:val="28"/>
                <w:highlight w:val="none"/>
                <w:u w:val="none"/>
                <w:lang w:val="en-US" w:eastAsia="zh-CN" w:bidi="ar"/>
              </w:rPr>
              <w:t>改善深部组织血液循环，增强新陈代谢，促进炎症吸收及消散，促进淋巴回流，增强巨噬细胞吞噬功能，促进病理代谢产物的吸收。</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中低频治疗仪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通过患者体表电刺激进行神经肌肉训练，促进软组织损伤修复、缓解疼痛和改善肌肉萎缩。</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梯度压力治疗系统</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通过压力疗法和神经肌肉电刺激疗法达到促进静脉循环、消除淋巴液水肿、加强动脉灌注，防止深静脉血栓形成的治疗作用。</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多段位手法治疗床</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用于手法治疗。</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1张</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简易运动训练套装</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配件参数：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1.哑铃10对    2.沙袋(绑式)7对    3.弹力带6条</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4.S型挂钩*21  5.软式重力球*8     6.弹力绳*5</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7.体操棒*3     8.弹力球*3         9.固定圈*3</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10.训练半球*1 11.平衡垫*2        12.平衡软垫*2</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13.瑜伽垫*3   14.瑜伽小球*3     15.普拉提圈*2</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16.泡沫轴*1   17.按摩球*2</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电动PT床</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用于PT训练使用。</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1张</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四人站立架</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训练患者站立功能，它能够把不能自主站立的使用者固定在站立位。患者在液压动力帮助下从坐位转变到站立位，用固定装置对人体加以固定，使患者稳定保持在站立位。</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1个</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肋木(带肩梯)</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可以完成针对青少年、运动损伤、脑卒中后遗症患者进行关节活动训练、柔韧训练、姿势控制训练、关节稳定性训练等。</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17</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三向训练阶梯</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用于患者日常生活步行训练，含高度可调扶手，适合不同身高人群进行上下阶梯训练。</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1个</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牵引网架(含网架和床)</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适用于肌力、关节活动度改善和调整训练，也可进行牵引训练。</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19</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平衡杠</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用于患者日常生活步行训练，含高度可调扶手，带姿势镜，也可用作辅助用具。</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1个</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电动站立轮椅</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快速站立，蹲起复健训练，室内外便捷移动，生活自理无负担，低重心设计防侧翻</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1把</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电动起立床</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增强肌肉力量、预防肌肉萎缩、促进神经系统恢复、提高躯千和下肢的负重能力、增加关节活动度、预防关节挛缩、预防压疮等。</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1张</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上下肢主被动训练系统</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满足全场景全周期多年龄段的训练需求。通过高清触屏，控制动力驱动系统，可实现早期床边完全被动训练，中期地面的主被动训练，后期的主动抗阻训练，形成一个完整的全场景训练周期。</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治疗椅</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治疗椅通过可调节高度、可转移位置与可调节旋转位置等设计，方便治疗师在治疗过程中体位的转移。</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5把</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24</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数字OT评估与训练系统</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通过电磁传感器、LED阵列、动态控制算法以及AI人工智能技术等，为作业治疗提供全新的智能解决方案。</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可调式OT桌</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诊疗台通过可调节高度的设计，方便治疗师根据不同患者情况来调节桌面高度，适用于上肢作业训练、上肢功能训练等康复训练。</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1张</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26</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日常生活作业训练套装</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集合OT常用训练工具的多功能作业治疗训练设备套装，内涵至少七个训练单元，方便治疗师便捷且迅速地搭建基础OT训练系统。主要适用于上肢手功能性训练、日常生活活动训练及认知能力训练等。</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27</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上肢协调功能练习器(腕、手指)</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训练上肢的稳定性、协调性功能，提高上肢的日常活动能力。</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28</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可调式沙磨板及附件</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适用上肢肌力协调活动能力及关节活动度的作业训练。</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29</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智能情景互动训练系统</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为患者提供智能情景互动训练。</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平衡板</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偏瘫、脑瘫等运动失调患者进行平衡协调训练。</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1个</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31</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穿衣板</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模拟日常生活的各种穿衣系扣的训练，提高患者的穿衣能力协调功能。</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1个</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32</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中医湿热敷</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缓解局部疼痛和疲劳。</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33</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中医艾灸床</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躯干四肢的艾灸治疗。</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1张</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34</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颈腰椎牵引仪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颈腰椎疾病牵引用。</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35</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电针仪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电针治疗用。</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36</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艾灸仪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局部艾灸治疗。</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37</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认知治疗</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系统(言语)</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利用多媒体对患者语言认知能力进行训练、评估</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38</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语言训练套装</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用于训练患者的听、说和识别能力。</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39</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写字板</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带一键清除的可重复写画功能。</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1个</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复读机</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录音、点读、复读功能。</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1个</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41</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吞咽障碍治疗仪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通过对喉部肌肉的功能性电刺激和对肌肉的训练使咽部肌肉逐步恢复功能。</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42</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上肢康复机器人/上肢康复训练系统</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基于力反馈技术可以实现多样化的任务导向训练，精确客观地量化每个动作，同时提供沉浸式的互动体验，迅速提高使用者运动的力度、速度、准确度，进而重塑上肢功能。</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43</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下肢康复机器人</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基于力反馈技术实现多样化的任务导向训练，精确客观地量化每个动作，同时提供沉浸式的互动体验，可迅速提高使用者运动的力度、速度、准确度，重塑下肢功能。</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44</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天轨式康复训练及移位系统</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为成人和儿童提供转移辅助。</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45</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康复信息系统（含物联网、接口实现费）</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自动采集康复服务中产生的信息数据(包括智能康复设备产生的数据)，并整合进入中心康复信息模块，支持与中心HIS、健康云凭条系统对接、与上级医疗机构互联互通，明确系统质保期、产品有效期；详细说明信息系统后期维护服务内容，包含维护响应时间、维护方式、维护团队配置；后期运维费用、增加模块费用、设备接口费用等。</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可选配产品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46</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深层肌肉刺激仪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适用于颈腰椎椎病、肩关节周围炎、慢性软组织损伤引起的疼痛和关节活动受限的辅助治疗。</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47</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超声波治疗仪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为适宜患者提供超声波治疗，具有改善血液循环、缓解肌肉痉挛、消肿止痛、促进炎症消退、促进神经修复和穴位刺激等作用。</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48</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手功能康复智能机器人</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通过压力驱动，实现对手指、手腕等关节的被动训练，以降低肌张力、改善血液循环、增加关节活动度等效果。</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49</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病床（含床头柜）</w:t>
            </w:r>
          </w:p>
        </w:tc>
        <w:tc>
          <w:tcPr>
            <w:tcW w:w="2357" w:type="pct"/>
            <w:gridSpan w:val="2"/>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标准病床</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20套</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50</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治疗床（带孔，含治疗车）</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床：1、规格尺寸：1900mm×600mm×600mm±10mm；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2、床边管采用30×50×1优质方管，床面加强条为30×15×0.9焊管焊接成型；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3、床脚用50×30×1焊管作支撑立柱,连接件为30×30×1焊管焊接成型，床脚配置防滑脚垫，分离式床脚，装卸方便；</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4、床面与床脚连接斜拉支撑用20×10×1的焊管冲压成型；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5、床面采用优质天蓝色人造革和高密度海绵，海绵厚度为25mm,底面采用九层板。</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车：1、产品尺寸：650×450×800±10mm；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2、车身：骨架采用优质不锈钢管制作，管厚≥1.0mm，台面为优质304不锈钢双层台面板厚≥1.0 mm，表面：经抗指纹磨砂处理；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3、轮子：3寸静音轮,对角刹车；</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4、抽屉：三折静音滑槽。</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20张</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51</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微波治疗仪</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用于妇科、肿瘤科、神经科疾病的理疗和治疗，或对炎症、术后伤口等进行物理治疗。</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52</w:t>
            </w:r>
          </w:p>
        </w:tc>
        <w:tc>
          <w:tcPr>
            <w:tcW w:w="700" w:type="pc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特定电磁波谱治疗</w:t>
            </w:r>
          </w:p>
        </w:tc>
        <w:tc>
          <w:tcPr>
            <w:tcW w:w="2357" w:type="pct"/>
            <w:gridSpan w:val="2"/>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1、电压、频率：220V/50HZ；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2、功率：300W；</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3、产品样式：立式单头；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4、主要波谱范围：2~25 微米；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5、带防倾倒装置；</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6、计时方式：0—60 分钟或常开；</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7、辐射板直径：166mm；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8、支臂伸缩范围：0-440mm；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9、仰角：270°；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10、方位角：360°。</w:t>
            </w:r>
          </w:p>
        </w:tc>
        <w:tc>
          <w:tcPr>
            <w:tcW w:w="486" w:type="pct"/>
            <w:vAlign w:val="center"/>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30台</w:t>
            </w:r>
          </w:p>
        </w:tc>
        <w:tc>
          <w:tcPr>
            <w:tcW w:w="1134" w:type="pct"/>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pct"/>
            <w:gridSpan w:val="3"/>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合计金额（元）</w:t>
            </w:r>
          </w:p>
        </w:tc>
        <w:tc>
          <w:tcPr>
            <w:tcW w:w="3068" w:type="pct"/>
            <w:gridSpan w:val="3"/>
          </w:tcPr>
          <w:p>
            <w:pPr>
              <w:pStyle w:val="15"/>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8"/>
                <w:szCs w:val="28"/>
                <w:vertAlign w:val="baseline"/>
              </w:rPr>
            </w:pPr>
          </w:p>
        </w:tc>
      </w:tr>
    </w:tbl>
    <w:p>
      <w:pPr>
        <w:pStyle w:val="6"/>
        <w:spacing w:line="360" w:lineRule="auto"/>
        <w:ind w:firstLine="640"/>
        <w:rPr>
          <w:rFonts w:hint="default"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上表中“响应参数”为基本要求，投递人根据自身情况补充。数量均为1套，报价应包含材料、制造、包装、运输、安装、调试、检测、附属设备、售后服务等。</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MmUzOTk5ZGUxMGU1YjZlNGI5NDZjMTk5ZTc4ZDYifQ=="/>
  </w:docVars>
  <w:rsids>
    <w:rsidRoot w:val="1A344D7D"/>
    <w:rsid w:val="00F6712C"/>
    <w:rsid w:val="012F0302"/>
    <w:rsid w:val="0BA82DB7"/>
    <w:rsid w:val="0E0F2898"/>
    <w:rsid w:val="0F3B1FB3"/>
    <w:rsid w:val="0F5C00D0"/>
    <w:rsid w:val="18BD5DDE"/>
    <w:rsid w:val="1A344D7D"/>
    <w:rsid w:val="20021847"/>
    <w:rsid w:val="20CB375C"/>
    <w:rsid w:val="23F0155A"/>
    <w:rsid w:val="27007912"/>
    <w:rsid w:val="294D2BB7"/>
    <w:rsid w:val="2A4B3693"/>
    <w:rsid w:val="2FD41464"/>
    <w:rsid w:val="31721834"/>
    <w:rsid w:val="33520EA1"/>
    <w:rsid w:val="346B7F65"/>
    <w:rsid w:val="3F1473B5"/>
    <w:rsid w:val="3FE506BE"/>
    <w:rsid w:val="46F60549"/>
    <w:rsid w:val="476505C1"/>
    <w:rsid w:val="509B013C"/>
    <w:rsid w:val="531C6FD2"/>
    <w:rsid w:val="540006A2"/>
    <w:rsid w:val="54120B01"/>
    <w:rsid w:val="55B31FE6"/>
    <w:rsid w:val="56AC5DE8"/>
    <w:rsid w:val="581740CD"/>
    <w:rsid w:val="5C3B4A8D"/>
    <w:rsid w:val="5E3B3FF4"/>
    <w:rsid w:val="63CE106A"/>
    <w:rsid w:val="66E86615"/>
    <w:rsid w:val="67B1035E"/>
    <w:rsid w:val="6FF002F6"/>
    <w:rsid w:val="70E551DD"/>
    <w:rsid w:val="745548CC"/>
    <w:rsid w:val="7513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kern w:val="2"/>
      <w:sz w:val="21"/>
      <w:szCs w:val="24"/>
    </w:rPr>
  </w:style>
  <w:style w:type="paragraph" w:styleId="3">
    <w:name w:val="Body Text First Indent"/>
    <w:basedOn w:val="2"/>
    <w:next w:val="1"/>
    <w:unhideWhenUsed/>
    <w:qFormat/>
    <w:uiPriority w:val="99"/>
    <w:pPr>
      <w:ind w:firstLine="420" w:firstLineChars="100"/>
    </w:pPr>
  </w:style>
  <w:style w:type="paragraph" w:styleId="6">
    <w:name w:val="Normal Indent"/>
    <w:basedOn w:val="1"/>
    <w:qFormat/>
    <w:uiPriority w:val="0"/>
    <w:pPr>
      <w:ind w:firstLine="200" w:firstLineChars="200"/>
    </w:pPr>
  </w:style>
  <w:style w:type="paragraph" w:styleId="7">
    <w:name w:val="Body Text Indent"/>
    <w:basedOn w:val="1"/>
    <w:qFormat/>
    <w:uiPriority w:val="99"/>
    <w:pPr>
      <w:ind w:firstLine="630"/>
    </w:pPr>
    <w:rPr>
      <w:sz w:val="32"/>
      <w:szCs w:val="20"/>
    </w:rPr>
  </w:style>
  <w:style w:type="paragraph" w:styleId="8">
    <w:name w:val="Plain Text"/>
    <w:basedOn w:val="1"/>
    <w:qFormat/>
    <w:uiPriority w:val="0"/>
    <w:pPr>
      <w:autoSpaceDE w:val="0"/>
      <w:autoSpaceDN w:val="0"/>
      <w:adjustRightInd w:val="0"/>
    </w:pPr>
    <w:rPr>
      <w:rFonts w:ascii="宋体" w:hAnsi="Tms Rmn"/>
      <w:kern w:val="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7"/>
    <w:qFormat/>
    <w:uiPriority w:val="99"/>
    <w:pPr>
      <w:spacing w:after="120"/>
      <w:ind w:left="420" w:leftChars="200" w:firstLine="420" w:firstLineChars="200"/>
    </w:pPr>
    <w:rPr>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_正文段落"/>
    <w:basedOn w:val="1"/>
    <w:qFormat/>
    <w:uiPriority w:val="0"/>
    <w:pPr>
      <w:spacing w:line="360" w:lineRule="auto"/>
    </w:pPr>
    <w:rPr>
      <w:rFonts w:eastAsia="仿宋_GB2312"/>
      <w:sz w:val="28"/>
      <w:szCs w:val="24"/>
    </w:rPr>
  </w:style>
  <w:style w:type="character" w:customStyle="1" w:styleId="16">
    <w:name w:val="font61"/>
    <w:basedOn w:val="13"/>
    <w:qFormat/>
    <w:uiPriority w:val="0"/>
    <w:rPr>
      <w:rFonts w:hint="eastAsia" w:ascii="仿宋" w:hAnsi="仿宋" w:eastAsia="仿宋" w:cs="仿宋"/>
      <w:color w:val="000000"/>
      <w:sz w:val="18"/>
      <w:szCs w:val="18"/>
      <w:u w:val="none"/>
    </w:rPr>
  </w:style>
  <w:style w:type="character" w:customStyle="1" w:styleId="17">
    <w:name w:val="font71"/>
    <w:basedOn w:val="13"/>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286</Words>
  <Characters>326</Characters>
  <Lines>0</Lines>
  <Paragraphs>0</Paragraphs>
  <TotalTime>12</TotalTime>
  <ScaleCrop>false</ScaleCrop>
  <LinksUpToDate>false</LinksUpToDate>
  <CharactersWithSpaces>337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2022-10-18T05:20:00Z</dcterms:created>
  <dc:creator>誓瑷</dc:creator>
  <cp:lastModifiedBy>彩虹排骨</cp:lastModifiedBy>
  <dcterms:modified xsi:type="dcterms:W3CDTF">2025-07-22T08:50:02Z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F3838C4658B24EC0954612A754B39A87_13</vt:lpwstr>
  </property>
  <property fmtid="{D5CDD505-2E9C-101B-9397-08002B2CF9AE}" pid="4" name="KSOTemplateDocerSaveRecord">
    <vt:lpwstr>eyJoZGlkIjoiODFhYTRlYzNjN2U4ZmUxNTVkZTY2ZTFlYzgyMTdmM2EiLCJ1c2VySWQiOiIxMTQ4MzMzMjUyIn0=</vt:lpwstr>
  </property>
</Properties>
</file>