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附件：</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自贡市公安局交通警察支队“全市智能交通设施设备运维及网络通信服务--设计、概算编制服务”</w:t>
      </w:r>
      <w:r>
        <w:rPr>
          <w:rFonts w:hint="eastAsia" w:ascii="仿宋" w:hAnsi="仿宋" w:eastAsia="仿宋" w:cs="仿宋"/>
          <w:b/>
          <w:bCs/>
          <w:sz w:val="32"/>
          <w:szCs w:val="32"/>
          <w:lang w:eastAsia="zh-CN"/>
        </w:rPr>
        <w:t>项目概况及要求</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Chars="0"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项目概况</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目预算投资约1200万元，按照自贡市公安局交通警察支队2017年招标采购的城区智能交通系统建设服务采购项目（项目编号:5103012017000854）建设内容，提供该项目未来三年的运行维护方案设计及造价预算服务，运行维护内容包括原智能交通项目软件平台、服务器等硬件设备、外场设备（包含79个路口信号机及杆件、313个视频流量检测相机、21套LED诱导屏等）以及213条公安视频专网网络通讯链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服务内容及要求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562" w:firstLineChars="200"/>
        <w:jc w:val="left"/>
        <w:textAlignment w:val="auto"/>
        <w:rPr>
          <w:rFonts w:hint="eastAsia" w:ascii="仿宋" w:hAnsi="仿宋" w:eastAsia="仿宋" w:cs="仿宋"/>
          <w:b/>
          <w:bCs/>
          <w:i w:val="0"/>
          <w:iCs w:val="0"/>
          <w:caps w:val="0"/>
          <w:color w:val="333333"/>
          <w:spacing w:val="0"/>
          <w:sz w:val="28"/>
          <w:szCs w:val="28"/>
          <w:highlight w:val="none"/>
          <w:shd w:val="clear" w:fill="FFFFFF"/>
          <w:lang w:val="en-US" w:eastAsia="zh-CN"/>
        </w:rPr>
      </w:pPr>
      <w:r>
        <w:rPr>
          <w:rFonts w:hint="eastAsia" w:ascii="仿宋" w:hAnsi="仿宋" w:eastAsia="仿宋" w:cs="仿宋"/>
          <w:b/>
          <w:bCs/>
          <w:i w:val="0"/>
          <w:iCs w:val="0"/>
          <w:caps w:val="0"/>
          <w:color w:val="333333"/>
          <w:spacing w:val="0"/>
          <w:sz w:val="28"/>
          <w:szCs w:val="28"/>
          <w:highlight w:val="none"/>
          <w:shd w:val="clear" w:fill="FFFFFF"/>
          <w:lang w:val="en-US" w:eastAsia="zh-CN"/>
        </w:rPr>
        <w:t>设计服务：</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1.设计基本要求</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设计单位应根据本项目的具体情况，按照国家有关标准强制性条文、司法部及其他相关部门关于</w:t>
      </w:r>
      <w:r>
        <w:rPr>
          <w:rFonts w:hint="eastAsia" w:ascii="仿宋" w:hAnsi="仿宋" w:eastAsia="仿宋" w:cs="仿宋"/>
          <w:color w:val="auto"/>
          <w:sz w:val="28"/>
          <w:szCs w:val="28"/>
          <w:lang w:eastAsia="zh-CN"/>
        </w:rPr>
        <w:t>信息化</w:t>
      </w:r>
      <w:r>
        <w:rPr>
          <w:rFonts w:hint="eastAsia" w:ascii="仿宋" w:hAnsi="仿宋" w:eastAsia="仿宋" w:cs="仿宋"/>
          <w:color w:val="auto"/>
          <w:sz w:val="28"/>
          <w:szCs w:val="28"/>
        </w:rPr>
        <w:t>设计方面的现行技术标准、规范、规程、定额、办法、示例等有关规定完成本项目的设计工作及清单预算。</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质量目标：</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设计符合国家、行业规范要求；</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进度目标：按计划工期完成，提交设计文件；</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投资控制目标：项目概预算总投资不超过项目批复额度。</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项目实施过程控制：遵循国家法律、法规等相关要求，协助</w:t>
      </w:r>
      <w:r>
        <w:rPr>
          <w:rFonts w:hint="eastAsia" w:ascii="仿宋" w:hAnsi="仿宋" w:eastAsia="仿宋" w:cs="仿宋"/>
          <w:sz w:val="28"/>
          <w:szCs w:val="28"/>
          <w:lang w:eastAsia="zh-CN"/>
        </w:rPr>
        <w:t>采购人</w:t>
      </w:r>
      <w:r>
        <w:rPr>
          <w:rFonts w:hint="eastAsia" w:ascii="仿宋" w:hAnsi="仿宋" w:eastAsia="仿宋" w:cs="仿宋"/>
          <w:sz w:val="28"/>
          <w:szCs w:val="28"/>
        </w:rPr>
        <w:t>完成项目实施过程的相关设计工作。</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2.设计文件要求</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设计文件的编制须严格执行国家标准强制性条文及有关</w:t>
      </w:r>
      <w:r>
        <w:rPr>
          <w:rFonts w:hint="eastAsia" w:ascii="仿宋" w:hAnsi="仿宋" w:eastAsia="仿宋" w:cs="仿宋"/>
          <w:sz w:val="28"/>
          <w:szCs w:val="28"/>
          <w:lang w:eastAsia="zh-CN"/>
        </w:rPr>
        <w:t>信息化</w:t>
      </w:r>
      <w:r>
        <w:rPr>
          <w:rFonts w:hint="eastAsia" w:ascii="仿宋" w:hAnsi="仿宋" w:eastAsia="仿宋" w:cs="仿宋"/>
          <w:sz w:val="28"/>
          <w:szCs w:val="28"/>
        </w:rPr>
        <w:t>建设的法律、法规、规章、规范、标准、规程、定额和合同的要求；设计文件编制要求资源整合利用、节约资源和能源、符合相关规划，提高社会经济效益和促进技术进步。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设计依据的基本资料应完整、准确、可靠；设计方案论证充分，计算可靠，并符合系统运行安全的要求；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 xml:space="preserve">设计文件的深度应满足和符合初步设计阶段的有关规定、规范的要求；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设计文件须保证工程质量和安全的要求，符合安全、适用、经济、美观的综合要求；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设计文件中关于设备、配件和建设材料的选用，应当注明其性能及技术标准，质量要求须符合国家规定的标准，但不得指定生产厂、供应商和产品品牌；</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设计文件中应贯彻相关</w:t>
      </w:r>
      <w:r>
        <w:rPr>
          <w:rFonts w:hint="eastAsia" w:ascii="仿宋" w:hAnsi="仿宋" w:eastAsia="仿宋" w:cs="仿宋"/>
          <w:sz w:val="28"/>
          <w:szCs w:val="28"/>
          <w:lang w:eastAsia="zh-CN"/>
        </w:rPr>
        <w:t>信息化建设</w:t>
      </w:r>
      <w:r>
        <w:rPr>
          <w:rFonts w:hint="eastAsia" w:ascii="仿宋" w:hAnsi="仿宋" w:eastAsia="仿宋" w:cs="仿宋"/>
          <w:sz w:val="28"/>
          <w:szCs w:val="28"/>
        </w:rPr>
        <w:t>标准的要求，有利于</w:t>
      </w:r>
      <w:r>
        <w:rPr>
          <w:rFonts w:hint="eastAsia" w:ascii="仿宋" w:hAnsi="仿宋" w:eastAsia="仿宋" w:cs="仿宋"/>
          <w:sz w:val="28"/>
          <w:szCs w:val="28"/>
          <w:lang w:eastAsia="zh-CN"/>
        </w:rPr>
        <w:t>项目</w:t>
      </w:r>
      <w:r>
        <w:rPr>
          <w:rFonts w:hint="eastAsia" w:ascii="仿宋" w:hAnsi="仿宋" w:eastAsia="仿宋" w:cs="仿宋"/>
          <w:sz w:val="28"/>
          <w:szCs w:val="28"/>
        </w:rPr>
        <w:t>管理，保证</w:t>
      </w:r>
      <w:r>
        <w:rPr>
          <w:rFonts w:hint="eastAsia" w:ascii="仿宋" w:hAnsi="仿宋" w:eastAsia="仿宋" w:cs="仿宋"/>
          <w:sz w:val="28"/>
          <w:szCs w:val="28"/>
          <w:lang w:eastAsia="zh-CN"/>
        </w:rPr>
        <w:t>项目</w:t>
      </w:r>
      <w:r>
        <w:rPr>
          <w:rFonts w:hint="eastAsia" w:ascii="仿宋" w:hAnsi="仿宋" w:eastAsia="仿宋" w:cs="仿宋"/>
          <w:sz w:val="28"/>
          <w:szCs w:val="28"/>
        </w:rPr>
        <w:t>质量。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 xml:space="preserve">3.设计评审及完善要求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设计文件必须接受</w:t>
      </w:r>
      <w:r>
        <w:rPr>
          <w:rFonts w:hint="eastAsia" w:ascii="仿宋" w:hAnsi="仿宋" w:eastAsia="仿宋" w:cs="仿宋"/>
          <w:sz w:val="28"/>
          <w:szCs w:val="28"/>
          <w:lang w:val="en-US" w:eastAsia="zh-CN"/>
        </w:rPr>
        <w:t>采购人</w:t>
      </w:r>
      <w:r>
        <w:rPr>
          <w:rFonts w:hint="eastAsia" w:ascii="仿宋" w:hAnsi="仿宋" w:eastAsia="仿宋" w:cs="仿宋"/>
          <w:sz w:val="28"/>
          <w:szCs w:val="28"/>
        </w:rPr>
        <w:t>组织的设计评审，设计单位必须配合</w:t>
      </w:r>
      <w:r>
        <w:rPr>
          <w:rFonts w:hint="eastAsia" w:ascii="仿宋" w:hAnsi="仿宋" w:eastAsia="仿宋" w:cs="仿宋"/>
          <w:sz w:val="28"/>
          <w:szCs w:val="28"/>
          <w:lang w:val="en-US" w:eastAsia="zh-CN"/>
        </w:rPr>
        <w:t>采购人</w:t>
      </w:r>
      <w:r>
        <w:rPr>
          <w:rFonts w:hint="eastAsia" w:ascii="仿宋" w:hAnsi="仿宋" w:eastAsia="仿宋" w:cs="仿宋"/>
          <w:sz w:val="28"/>
          <w:szCs w:val="28"/>
        </w:rPr>
        <w:t>完成设计文件报审的相关工作，并按照审查意见修改设计文件和概预算编制。</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4.其它服务要求</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(1)施工现场服务：设计单位应做好施工现场服务，并负责解决施工过程中出现的设计问题，主要并不限于以下现场服务：</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开工前在</w:t>
      </w:r>
      <w:r>
        <w:rPr>
          <w:rFonts w:hint="eastAsia" w:ascii="仿宋" w:hAnsi="仿宋" w:eastAsia="仿宋" w:cs="仿宋"/>
          <w:sz w:val="28"/>
          <w:szCs w:val="28"/>
          <w:lang w:eastAsia="zh-CN"/>
        </w:rPr>
        <w:t>采购人</w:t>
      </w:r>
      <w:r>
        <w:rPr>
          <w:rFonts w:hint="eastAsia" w:ascii="仿宋" w:hAnsi="仿宋" w:eastAsia="仿宋" w:cs="仿宋"/>
          <w:sz w:val="28"/>
          <w:szCs w:val="28"/>
        </w:rPr>
        <w:t>指定的时间内，做好设计文件的技术交底工作和现场控制点的交接工作；</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eastAsia="zh-CN"/>
        </w:rPr>
        <w:t>采购人</w:t>
      </w:r>
      <w:r>
        <w:rPr>
          <w:rFonts w:hint="eastAsia" w:ascii="仿宋" w:hAnsi="仿宋" w:eastAsia="仿宋" w:cs="仿宋"/>
          <w:sz w:val="28"/>
          <w:szCs w:val="28"/>
        </w:rPr>
        <w:t>规定的时间内积极配合</w:t>
      </w:r>
      <w:r>
        <w:rPr>
          <w:rFonts w:hint="eastAsia" w:ascii="仿宋" w:hAnsi="仿宋" w:eastAsia="仿宋" w:cs="仿宋"/>
          <w:sz w:val="28"/>
          <w:szCs w:val="28"/>
          <w:lang w:eastAsia="zh-CN"/>
        </w:rPr>
        <w:t>采购人</w:t>
      </w:r>
      <w:r>
        <w:rPr>
          <w:rFonts w:hint="eastAsia" w:ascii="仿宋" w:hAnsi="仿宋" w:eastAsia="仿宋" w:cs="仿宋"/>
          <w:sz w:val="28"/>
          <w:szCs w:val="28"/>
        </w:rPr>
        <w:t>对施工及设计方案进行优化；</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eastAsia="zh-CN"/>
        </w:rPr>
        <w:t>采购人</w:t>
      </w:r>
      <w:r>
        <w:rPr>
          <w:rFonts w:hint="eastAsia" w:ascii="仿宋" w:hAnsi="仿宋" w:eastAsia="仿宋" w:cs="仿宋"/>
          <w:sz w:val="28"/>
          <w:szCs w:val="28"/>
        </w:rPr>
        <w:t>规定的时间内有能力及时处理与解决施工中与设计有关的问题；</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参与工程质量事故分析，并对因设计造成的质量事故，提出相应的技术处理方案；</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参加本项目的交工、竣工验收，并配合质量监督部门校核工程是否按设计施工。</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(2)设计变更：本项目设计变更的勘察设计由设计单位承担，设计单位应及时完成变更设计，提交设计变更文件，并对设计变更文件承担相应责任。</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(3)工程验收：工程结束时，设计单位应配合参与工程验收。</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5.其他要求</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(1)供应商应独立设计，对所设计的技术参数、性能指标要求的公正性负责。</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(2)施工中发现设计不满足施工作业安全条件的，应及时修改调整设计。</w:t>
      </w:r>
    </w:p>
    <w:p>
      <w:pPr>
        <w:keepNext w:val="0"/>
        <w:keepLines w:val="0"/>
        <w:pageBreakBefore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(3)若上级主管部门或采购人认为需要进行方案调整及相应修正概、预算，在符合规范的前提下设计单位无条件执行。</w:t>
      </w:r>
    </w:p>
    <w:p>
      <w:pPr>
        <w:keepNext w:val="0"/>
        <w:keepLines w:val="0"/>
        <w:pageBreakBefore w:val="0"/>
        <w:numPr>
          <w:ilvl w:val="0"/>
          <w:numId w:val="0"/>
        </w:numPr>
        <w:kinsoku/>
        <w:wordWrap/>
        <w:overflowPunct/>
        <w:topLinePunct w:val="0"/>
        <w:autoSpaceDE/>
        <w:autoSpaceDN/>
        <w:bidi w:val="0"/>
        <w:adjustRightInd/>
        <w:spacing w:line="360" w:lineRule="auto"/>
        <w:ind w:leftChars="20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(4)供应商在设计过程中应按照国家安全、相关部委及行业的有关规定和标准履行保密义务供应商对初步设计中涉及的有关信息保密，未经采购人同意，不得打听、收集、传播属于规定的保密事项和内容</w:t>
      </w:r>
      <w:r>
        <w:rPr>
          <w:rFonts w:hint="eastAsia" w:ascii="仿宋" w:hAnsi="仿宋" w:eastAsia="仿宋" w:cs="仿宋"/>
          <w:sz w:val="28"/>
          <w:szCs w:val="28"/>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562" w:firstLineChars="200"/>
        <w:jc w:val="left"/>
        <w:textAlignment w:val="auto"/>
        <w:rPr>
          <w:rFonts w:hint="eastAsia" w:ascii="仿宋" w:hAnsi="仿宋" w:eastAsia="仿宋" w:cs="仿宋"/>
          <w:b/>
          <w:bCs/>
          <w:i w:val="0"/>
          <w:iCs w:val="0"/>
          <w:caps w:val="0"/>
          <w:color w:val="333333"/>
          <w:spacing w:val="0"/>
          <w:sz w:val="28"/>
          <w:szCs w:val="28"/>
          <w:highlight w:val="none"/>
          <w:shd w:val="clear" w:fill="FFFFFF"/>
          <w:lang w:val="en-US" w:eastAsia="zh-CN"/>
        </w:rPr>
      </w:pPr>
      <w:r>
        <w:rPr>
          <w:rFonts w:hint="eastAsia" w:ascii="仿宋" w:hAnsi="仿宋" w:eastAsia="仿宋" w:cs="仿宋"/>
          <w:b/>
          <w:bCs/>
          <w:i w:val="0"/>
          <w:iCs w:val="0"/>
          <w:caps w:val="0"/>
          <w:color w:val="333333"/>
          <w:spacing w:val="0"/>
          <w:sz w:val="28"/>
          <w:szCs w:val="28"/>
          <w:highlight w:val="none"/>
          <w:shd w:val="clear" w:fill="FFFFFF"/>
          <w:lang w:val="en-US" w:eastAsia="zh-CN"/>
        </w:rPr>
        <w:t>造价服务：</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1、服务内容：造价咨询服务，包含以下内容：</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设计方案的成本分析比较，若设计变更需计算成本的合理性；</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项目合同价款咨询；</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对特殊材料、设备的询价，提供核价建议并签字确认；</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其它造价咨询服务相关事宜。</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2、服务质量要求</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符合相关法律法规及行业标准；</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咨询意见应坚持公正、公平、实事求是的原则；</w:t>
      </w:r>
    </w:p>
    <w:p>
      <w:pPr>
        <w:pStyle w:val="7"/>
        <w:keepNext w:val="0"/>
        <w:keepLines w:val="0"/>
        <w:pageBreakBefore w:val="0"/>
        <w:kinsoku/>
        <w:wordWrap w:val="0"/>
        <w:overflowPunct/>
        <w:topLinePunct/>
        <w:autoSpaceDE/>
        <w:autoSpaceDN/>
        <w:bidi w:val="0"/>
        <w:adjustRightInd/>
        <w:snapToGrid/>
        <w:spacing w:line="36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成果文件符合相关法律法规等有关要求；</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满足《建设工程造价咨询合同》的相关要求。</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3、人员要求</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项目负责人1人，全面负责项目的日常事务联系，协调、督促具体项目组工作，指导、复核各专业造价人员造价控制的各项工作。</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4、工作组织</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成交供应商应完全服从采购人的管理，严格遵守采购人的各项规定。</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服务过程中应当遵循独立性、客观性、科学性、公正性原则，依法独立、公正的执行业务，遵守职业道德及保密原则。</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成交供应商从事受托项目咨询的专业技术人员与项目有利害关系的，应事先声明，实行回避。</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成交供应商不得将中标项目分包或转委托于其他任何单位。</w:t>
      </w:r>
    </w:p>
    <w:p>
      <w:pPr>
        <w:keepNext w:val="0"/>
        <w:keepLines w:val="0"/>
        <w:pageBreakBefore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采购人对成交供应商违反规定发生违纪行为或出现严重差错或故意提供不实、内容虚假的成果文件，产生的相应后果，依法追究其法律责任。</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成交供应商及其审核人员应当自觉服从采购人的管理，并接受业务指导和监督，并积极配合采购人，并提供有效的技术支持。</w:t>
      </w:r>
    </w:p>
    <w:p>
      <w:pPr>
        <w:numPr>
          <w:ilvl w:val="0"/>
          <w:numId w:val="1"/>
        </w:numPr>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询价要求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各潜在供应商，需按以下内容及格式进行报价：</w:t>
      </w:r>
    </w:p>
    <w:p>
      <w:pPr>
        <w:rPr>
          <w:rFonts w:hint="eastAsia" w:ascii="仿宋" w:hAnsi="仿宋" w:eastAsia="仿宋" w:cs="仿宋"/>
          <w:kern w:val="2"/>
          <w:sz w:val="28"/>
          <w:szCs w:val="28"/>
          <w:lang w:val="en-US" w:eastAsia="zh-CN" w:bidi="ar-SA"/>
        </w:rPr>
      </w:pPr>
    </w:p>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四川汇隆招投标咨询有限公司：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我单位已知晓自贡市公安局交通警察支队“全市智能交通设施设备运维及网络通信服务--设计、概算编制服务”基本项目内容，结合我公司自身情况，针对本项目报价如下：</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030"/>
        <w:gridCol w:w="1247"/>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序号</w:t>
            </w:r>
          </w:p>
        </w:tc>
        <w:tc>
          <w:tcPr>
            <w:tcW w:w="3030"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服务内容</w:t>
            </w:r>
          </w:p>
        </w:tc>
        <w:tc>
          <w:tcPr>
            <w:tcW w:w="1247"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w:t>
            </w:r>
          </w:p>
        </w:tc>
        <w:tc>
          <w:tcPr>
            <w:tcW w:w="1704"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数量</w:t>
            </w:r>
          </w:p>
        </w:tc>
        <w:tc>
          <w:tcPr>
            <w:tcW w:w="1704"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3030" w:type="dxa"/>
          </w:tcPr>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设备运维设计服务</w:t>
            </w:r>
          </w:p>
        </w:tc>
        <w:tc>
          <w:tcPr>
            <w:tcW w:w="1247"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1704"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w:t>
            </w:r>
          </w:p>
        </w:tc>
        <w:tc>
          <w:tcPr>
            <w:tcW w:w="1704" w:type="dxa"/>
          </w:tcPr>
          <w:p>
            <w:pP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3030" w:type="dxa"/>
          </w:tcPr>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设备运维预算编制服务</w:t>
            </w:r>
          </w:p>
        </w:tc>
        <w:tc>
          <w:tcPr>
            <w:tcW w:w="1247"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1704"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w:t>
            </w:r>
          </w:p>
        </w:tc>
        <w:tc>
          <w:tcPr>
            <w:tcW w:w="1704" w:type="dxa"/>
          </w:tcPr>
          <w:p>
            <w:pP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w:t>
            </w:r>
          </w:p>
        </w:tc>
        <w:tc>
          <w:tcPr>
            <w:tcW w:w="3030" w:type="dxa"/>
          </w:tcPr>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网络通信设计服务</w:t>
            </w:r>
          </w:p>
        </w:tc>
        <w:tc>
          <w:tcPr>
            <w:tcW w:w="1247"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1704"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w:t>
            </w:r>
          </w:p>
        </w:tc>
        <w:tc>
          <w:tcPr>
            <w:tcW w:w="1704" w:type="dxa"/>
          </w:tcPr>
          <w:p>
            <w:pP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w:t>
            </w:r>
          </w:p>
        </w:tc>
        <w:tc>
          <w:tcPr>
            <w:tcW w:w="3030" w:type="dxa"/>
          </w:tcPr>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网络通信预算编制服</w:t>
            </w:r>
          </w:p>
        </w:tc>
        <w:tc>
          <w:tcPr>
            <w:tcW w:w="1247" w:type="dxa"/>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1704" w:type="dxa"/>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w:t>
            </w:r>
          </w:p>
        </w:tc>
        <w:tc>
          <w:tcPr>
            <w:tcW w:w="1704" w:type="dxa"/>
          </w:tcPr>
          <w:p>
            <w:pP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5"/>
          </w:tcPr>
          <w:p>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合计金额：</w:t>
            </w:r>
          </w:p>
        </w:tc>
      </w:tr>
    </w:tbl>
    <w:p>
      <w:pPr>
        <w:rPr>
          <w:rFonts w:hint="eastAsia"/>
          <w:lang w:val="en-US" w:eastAsia="zh-CN"/>
        </w:rPr>
      </w:pPr>
    </w:p>
    <w:p>
      <w:pPr>
        <w:numPr>
          <w:ilvl w:val="0"/>
          <w:numId w:val="0"/>
        </w:numPr>
        <w:jc w:val="left"/>
        <w:rPr>
          <w:rFonts w:hint="eastAsia" w:ascii="仿宋" w:hAnsi="仿宋" w:eastAsia="仿宋" w:cs="仿宋"/>
          <w:kern w:val="2"/>
          <w:sz w:val="28"/>
          <w:szCs w:val="28"/>
          <w:lang w:val="en-US" w:eastAsia="zh-CN" w:bidi="ar-SA"/>
        </w:rPr>
      </w:pPr>
    </w:p>
    <w:p>
      <w:pPr>
        <w:numPr>
          <w:ilvl w:val="0"/>
          <w:numId w:val="0"/>
        </w:numPr>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报价单位：                  （盖章）</w:t>
      </w:r>
    </w:p>
    <w:p>
      <w:pPr>
        <w:pStyle w:val="2"/>
        <w:jc w:val="right"/>
        <w:rPr>
          <w:rFonts w:hint="default"/>
          <w:lang w:val="en-US" w:eastAsia="zh-CN"/>
        </w:rPr>
      </w:pPr>
      <w:r>
        <w:rPr>
          <w:rFonts w:hint="eastAsia" w:ascii="仿宋" w:hAnsi="仿宋" w:eastAsia="仿宋" w:cs="仿宋"/>
          <w:kern w:val="2"/>
          <w:sz w:val="28"/>
          <w:szCs w:val="28"/>
          <w:lang w:val="en-US" w:eastAsia="zh-CN" w:bidi="ar-SA"/>
        </w:rPr>
        <w:t>日期：2023年09月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46FD"/>
    <w:multiLevelType w:val="singleLevel"/>
    <w:tmpl w:val="25044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zg0ZWI4Nzc1ZTQwMGEwMmIwOTNlNWQ0NjI2MTMifQ=="/>
  </w:docVars>
  <w:rsids>
    <w:rsidRoot w:val="02B1148D"/>
    <w:rsid w:val="02B1148D"/>
    <w:rsid w:val="5D954414"/>
    <w:rsid w:val="682D1D1F"/>
    <w:rsid w:val="6D0B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2023-09-08T03:59:00Z</dcterms:created>
  <dc:creator>WPS_1629907109</dc:creator>
  <cp:lastModifiedBy>° 。       麋鹿</cp:lastModifiedBy>
  <dcterms:modified xsi:type="dcterms:W3CDTF">2023-09-08T05:38:37Z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6884DAF589044D8490B02FE9FD9C0B0F_11</vt:lpwstr>
  </property>
</Properties>
</file>